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3A" w:rsidRPr="0009623A" w:rsidRDefault="00D946E2" w:rsidP="00526080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Памятка </w:t>
      </w:r>
    </w:p>
    <w:p w:rsidR="00E6504E" w:rsidRDefault="00D946E2" w:rsidP="00526080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bookmarkStart w:id="1" w:name="_Hlk97109561"/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по порядк</w:t>
      </w:r>
      <w:r w:rsidR="0009623A"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у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предоставления сведений о доходах, расходах, об имуществе и </w:t>
      </w:r>
    </w:p>
    <w:p w:rsidR="0009623A" w:rsidRDefault="00D946E2" w:rsidP="00526080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обязательствах имущественного характера</w:t>
      </w:r>
      <w:r w:rsidR="0009623A"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</w:t>
      </w:r>
      <w:r w:rsidR="0009623A"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</w:p>
    <w:bookmarkEnd w:id="1"/>
    <w:p w:rsidR="00C60F22" w:rsidRPr="0009623A" w:rsidRDefault="00C60F22" w:rsidP="00526080">
      <w:pPr>
        <w:shd w:val="clear" w:color="auto" w:fill="FFFFFF"/>
        <w:spacing w:after="0" w:line="240" w:lineRule="auto"/>
        <w:ind w:left="142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A22D3C" w:rsidRPr="0012059F" w:rsidRDefault="00A22D3C" w:rsidP="00A22D3C">
      <w:pPr>
        <w:shd w:val="clear" w:color="auto" w:fill="FFFFFF"/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ая Памятка</w:t>
      </w:r>
      <w:r w:rsidRPr="0012059F">
        <w:rPr>
          <w:rFonts w:ascii="Times New Roman" w:hAnsi="Times New Roman"/>
          <w:sz w:val="28"/>
          <w:szCs w:val="28"/>
        </w:rPr>
        <w:t xml:space="preserve"> 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по порядку предоставления сведений о доходах, расходах, об имуществе и обязательствах имущественного характера </w:t>
      </w:r>
      <w:r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  <w:r w:rsidRPr="0012059F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12059F">
        <w:rPr>
          <w:rFonts w:ascii="Times New Roman" w:hAnsi="Times New Roman"/>
          <w:sz w:val="28"/>
          <w:szCs w:val="28"/>
        </w:rPr>
        <w:t xml:space="preserve">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D946E2" w:rsidRPr="00BB1255" w:rsidRDefault="00A22D3C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В целях п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редоставления сведений о доходах, расходах, об имуществе и обязательствах имущественного характера </w:t>
      </w:r>
      <w:r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указанных должностей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6E2" w:rsidRPr="00BB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Зарегистрироваться на сервисе «Личный кабинет налогоплательщика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лиц»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самому, а также зарегистрировать супругу (супруга)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04E" w:rsidRP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55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Министерством труда и социальной защиты Российской Федерации (далее – </w:t>
      </w:r>
      <w:bookmarkStart w:id="2" w:name="_Hlk97030313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bookmarkEnd w:id="2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623A" w:rsidRDefault="0009623A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https://mintrud.gov.ru/ministry/anticorruption/Methods/13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32" w:rsidRPr="00657A32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Руководствоваться</w:t>
      </w:r>
      <w:r w:rsidR="000A2667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 w:rsid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указании сведений о доходах </w:t>
      </w:r>
      <w:r w:rsidR="00657A32" w:rsidRPr="00657A32">
        <w:rPr>
          <w:rFonts w:ascii="Times New Roman" w:hAnsi="Times New Roman" w:cs="Times New Roman"/>
          <w:b/>
          <w:sz w:val="28"/>
          <w:szCs w:val="28"/>
        </w:rPr>
        <w:t>положениями раздела 1. Сведения о доходах</w:t>
      </w:r>
      <w:r w:rsidR="00657A32" w:rsidRP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рекомендаций, </w:t>
      </w:r>
      <w:r w:rsidR="00657A32" w:rsidRP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подробно разъясняется порядок </w:t>
      </w:r>
      <w:r w:rsidR="00657A32" w:rsidRPr="000A2667">
        <w:rPr>
          <w:rStyle w:val="a7"/>
          <w:rFonts w:ascii="Times New Roman" w:hAnsi="Times New Roman" w:cs="Times New Roman"/>
          <w:color w:val="000000"/>
          <w:sz w:val="28"/>
          <w:szCs w:val="28"/>
        </w:rPr>
        <w:t>указания доходов</w:t>
      </w:r>
      <w:r w:rsidR="00657A32" w:rsidRP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6E2" w:rsidRPr="00D27A58" w:rsidRDefault="00657A3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заполнении </w:t>
      </w:r>
      <w:r w:rsidR="00D27A58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946E2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честь:</w:t>
      </w:r>
    </w:p>
    <w:p w:rsidR="00D27A58" w:rsidRPr="00D27A58" w:rsidRDefault="00D27A58" w:rsidP="00D27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1) доход по основному месту работы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>(в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При этом в том случае, если замещение государственной должности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"Иные доходы". При этом в графе "Вид дохода" указывается предыдущее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7A32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(пункты 47-48 Методических рекомендаций);</w:t>
      </w:r>
    </w:p>
    <w:p w:rsidR="00D27A58" w:rsidRPr="00D27A58" w:rsidRDefault="00D27A58" w:rsidP="00D27A5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2) доход от педагогической и научной деятельности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 xml:space="preserve">(в данной строке указывается сумма дохода от педагогической деятельности (сумма дохода, содержащаяся в справке по форме 2-НДФЛ, выданной по месту преподавания) и дохода от научной деятельности. При этом в том случае, если педагогическая или </w:t>
      </w:r>
      <w:r w:rsidRPr="00D27A58">
        <w:rPr>
          <w:rFonts w:ascii="Times New Roman" w:hAnsi="Times New Roman" w:cs="Times New Roman"/>
          <w:sz w:val="28"/>
          <w:szCs w:val="28"/>
        </w:rPr>
        <w:lastRenderedPageBreak/>
        <w:t>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"Доход по основному месту работы", а не в графе "Доход от педагогической и научной деятельности");</w:t>
      </w:r>
    </w:p>
    <w:p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3) доход от иной творческой деятельности (в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 и т.д.  При этом также 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т.д.);</w:t>
      </w:r>
    </w:p>
    <w:p w:rsidR="00D27A58" w:rsidRPr="00D27A58" w:rsidRDefault="00D27A58" w:rsidP="00D27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4) доход от вкладов в банках и иных кредитных организациях (в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 Обращаем Ваше внимание на то, что категорически 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5798-У);</w:t>
      </w:r>
    </w:p>
    <w:p w:rsidR="00D27A58" w:rsidRPr="00D27A58" w:rsidRDefault="00D27A58" w:rsidP="00D27A5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5) доход от ценных бумаг и долей участия в коммерческих организациях (в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- 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- выплаченный купонный доход по облигациям, уменьшенный на уплаченный накопленный купонный доход при приобретении облигации;</w:t>
      </w:r>
    </w:p>
    <w:p w:rsidR="00D27A58" w:rsidRPr="00EE040D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 xml:space="preserve">- доход 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в порядке и сроки, предусмотренные главой 23 Налогового кодекса Российской </w:t>
      </w:r>
      <w:r w:rsidRPr="00D27A58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D27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27A58">
        <w:rPr>
          <w:rFonts w:ascii="Times New Roman" w:hAnsi="Times New Roman" w:cs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</w:t>
      </w:r>
      <w:r w:rsidR="00EE040D">
        <w:rPr>
          <w:rFonts w:ascii="Times New Roman" w:hAnsi="Times New Roman" w:cs="Times New Roman"/>
          <w:sz w:val="28"/>
          <w:szCs w:val="28"/>
        </w:rPr>
        <w:t>;</w:t>
      </w:r>
    </w:p>
    <w:p w:rsidR="00D27A58" w:rsidRPr="00D27A58" w:rsidRDefault="00D27A58" w:rsidP="00D27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4) иные доходы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 xml:space="preserve">(данная строка должна заполняться в соответствии с положениями </w:t>
      </w:r>
      <w:r w:rsidR="00C67195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195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60-66 </w:t>
      </w:r>
      <w:r w:rsidRPr="00D27A58">
        <w:rPr>
          <w:rFonts w:ascii="Times New Roman" w:hAnsi="Times New Roman" w:cs="Times New Roman"/>
          <w:sz w:val="28"/>
          <w:szCs w:val="28"/>
        </w:rPr>
        <w:t>раздела 1. Сведения о доходах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рекомендаций, в которых разъясняется порядок </w:t>
      </w:r>
      <w:r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указания доходов, </w:t>
      </w:r>
      <w:r w:rsidR="00B0221F"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>не отраженных</w:t>
      </w:r>
      <w:r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 подпунктах (строках) 1-5.</w:t>
      </w:r>
    </w:p>
    <w:p w:rsidR="00C67195" w:rsidRPr="000A2667" w:rsidRDefault="00C67195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собое внимание 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обратить 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указание доходов от продажи недвижимого имущества, транспортных средствах (в том числе по трейд-ин) и ценных бумаг, отчужденных в течение 2021 года</w:t>
      </w:r>
      <w:r w:rsidR="00D946E2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7195" w:rsidRDefault="00C67195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95" w:rsidRPr="00C67195" w:rsidRDefault="00D946E2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расходах не заполнять</w:t>
      </w:r>
      <w:r w:rsidR="0009623A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отсутствия расходов в понимании законодательства</w:t>
      </w:r>
      <w:r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195" w:rsidRPr="00C67195">
        <w:rPr>
          <w:rFonts w:ascii="Times New Roman" w:hAnsi="Times New Roman"/>
          <w:sz w:val="28"/>
          <w:szCs w:val="28"/>
        </w:rPr>
        <w:t xml:space="preserve"> </w:t>
      </w:r>
      <w:r w:rsidR="00C67195" w:rsidRPr="00C67195">
        <w:rPr>
          <w:rFonts w:ascii="Times New Roman" w:hAnsi="Times New Roman"/>
          <w:b/>
          <w:sz w:val="28"/>
          <w:szCs w:val="28"/>
        </w:rPr>
        <w:t>Данный раздел справки заполняется только в случае, если</w:t>
      </w:r>
      <w:r w:rsidR="00C67195" w:rsidRPr="00C67195">
        <w:rPr>
          <w:rFonts w:ascii="Times New Roman" w:hAnsi="Times New Roman"/>
          <w:sz w:val="28"/>
          <w:szCs w:val="28"/>
        </w:rPr>
        <w:t xml:space="preserve"> в 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</w:t>
      </w:r>
      <w:r w:rsidR="00C67195" w:rsidRPr="000A2667">
        <w:rPr>
          <w:rFonts w:ascii="Times New Roman" w:hAnsi="Times New Roman"/>
          <w:b/>
          <w:sz w:val="28"/>
          <w:szCs w:val="28"/>
        </w:rPr>
        <w:t>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  <w:r w:rsidR="00C67195" w:rsidRPr="00C67195">
        <w:rPr>
          <w:rFonts w:ascii="Times New Roman" w:hAnsi="Times New Roman"/>
          <w:sz w:val="28"/>
          <w:szCs w:val="28"/>
        </w:rPr>
        <w:t xml:space="preserve"> При представлении сведений в 2022 году сообщаются сведения о расходах по сделкам, совершенным в 2021 году.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Указать все объекты недвижимости, принадлежащие гражданину (кандидату), его супруге (супругу) и (или) несовершеннолетним детям на праве собственности по состоянию на отчетную дату. Заблаговременно проверить наличие и достоверность документов о праве собственности и/или выписки из Единого государственного реестра недвижимости (ЕГРН) (пункты 8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  <w:r w:rsidR="00E6504E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указывать (подраздел 3.1 Недвижимое имущество, графа – Основание приобретения и источники средств) правильное, официальное наименование документов с соответствующими реквизитами, например: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Свидетельство о государственной регистрации права 50 НД №776723 от 17 марта 2010 г.; Запись в ЕГРП № 77:02:0014017:1994-72/004/2020-2 от 27 марта 2010 г.; договор купли-продажи от 19 февраля 2010 г.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Запись в ЕГРН № 77:02:0014017:1994-72/004/2020-2 от 12 мая 2020 г.; договор купли-продажи от 29 апреля 2020 г.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Указать сведения о транспортных средствах, находящихся в собственности по состоянию на отчетную дату, независимо от того, когда они были приобретены, в каком регионе Российской Федерации или в каком государстве зарегистрированы, переданные в пользование по доверенности,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находящиеся в угоне, в залоге у банка, полностью негодные к эксплуатации, снятые с регистрационного учета и т.д. (пункты 10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Получить информацию о наличии банковских счетов, открытых с 1 июля 2014 года, в ФНС России (в любом территориальном налоговом органе, в том числе по месту своего нахождения (жительства (пребывания)):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обратившись с запросом, составленным в произвольной форме, предъявив документ, удостоверяющий личность</w:t>
      </w:r>
      <w:r w:rsidR="005774C3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 заявление, через сервис «Личный кабинет налогоплательщика для физических лиц» (раздел: «обращение в свободной форме»).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не располагают информацией о движении денежных средств по счетам. Такую информацию нужно запросить у банка, в котором открыт счет.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C60F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Обратиться в банки (иные кредитные организации) на основании полученных сведений ФНС России, а также имеющихся договоров, для получения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форм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предоставления сведений о наличии счетов и иной информации по состоянию на отчетную дату, необходимой для представления гражданами сведений о доходах, расходах, об имуществе и обязательствах имущественного характера (сведения для госслужащих) (ПАО Сбербанк России, ПАО ВТБ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Отразить информацию обо всех счетах, открытых по состоянию на отчетную дату в банках и иных кредитных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(обратить внимание на ранее оформленные потребительские кредиты, кредиты на покупку автомобиля, ипотечные кредиты)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счетов, указанных в пункте 112 и 12</w:t>
      </w:r>
      <w:r w:rsidR="005C3BD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сведений о счетах в банках и иных кредитных организациях руководствоваться пунктами 1</w:t>
      </w:r>
      <w:r w:rsidR="006D663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D663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заполнении сведений о ценных бумагах руководствоваться пунктами </w:t>
      </w:r>
      <w:r w:rsidR="006D663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150-160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заполнении сведений об обязательствах имущественного характера руководствоваться пунктами 143-163 Методических рекомендаций.</w:t>
      </w:r>
    </w:p>
    <w:p w:rsidR="00C60F22" w:rsidRDefault="00C60F2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заполнении сведений о недвижимом имуществе, транспортных средствах и ценных бумагах, отчужденных в течение 2021 года в результате безвозмездной сделки руководствоваться пунктами </w:t>
      </w:r>
      <w:r w:rsidR="00AB025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183-197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Справки о доходах расходах, об имуществе и обязательствах имущественного характера на себя и членов семьи заполнять с 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СПО «Справки БК» версия 2.5.</w:t>
      </w:r>
      <w:r w:rsidR="009B538E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B538E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14.02.2022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размещенного на официальном сайте Президента Российской Федерации «kremlin.ru»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 ссылке:</w:t>
      </w:r>
    </w:p>
    <w:p w:rsidR="00BB1255" w:rsidRDefault="00BB1255" w:rsidP="000A26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667" w:rsidRPr="00BB1255" w:rsidRDefault="000A2667" w:rsidP="000A26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https://gossluzhba.gov.ru/anticorruption/spravki_bk</w:t>
      </w:r>
    </w:p>
    <w:p w:rsidR="000A2667" w:rsidRP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Справки печатать с помощью СПО «Справки БК» только на одной стороне листа, заверять личной подписью только на последнем листе справки в специально отведенном месте.</w:t>
      </w:r>
      <w:r w:rsid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подписи и пометок </w:t>
      </w:r>
      <w:proofErr w:type="gramStart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линейных и двумерных штрих</w:t>
      </w:r>
      <w:proofErr w:type="gramEnd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кодах, рукописные правки</w:t>
      </w:r>
      <w:r w:rsidR="00361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дефекты печати в виде полос, пятен (при дефектах барабана или картриджа принтера).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Обеспечить печать справки и ее заверение в течение одного дня. Не рекомендуется осуществлять подмену листов справки листами, напечатанными в иной момент времени (пункт 38 Методических рекомендаций).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в бухгалтерии справку 2-НДФЛ за 2021 год (соответственно супруга (супруг) получает справку по месту работы (службы)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</w:t>
      </w:r>
      <w:r w:rsidR="00D946E2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в отделении Фонда социального страхования сведения о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выплат по временной нетрудоспособности </w:t>
      </w:r>
      <w:r w:rsidR="003C39D7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39D7" w:rsidRPr="000A2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БОЛЬНИЧНЫЙ)</w:t>
      </w:r>
      <w:r w:rsidR="00D946E2" w:rsidRPr="000A2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80" w:rsidRPr="00E6504E" w:rsidRDefault="00E6504E" w:rsidP="0036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6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667">
        <w:rPr>
          <w:rFonts w:ascii="Times New Roman" w:hAnsi="Times New Roman" w:cs="Times New Roman"/>
          <w:b/>
          <w:sz w:val="28"/>
          <w:szCs w:val="28"/>
        </w:rPr>
        <w:t>Изучить о</w:t>
      </w:r>
      <w:r w:rsidR="00526080" w:rsidRPr="000A2667">
        <w:rPr>
          <w:rFonts w:ascii="Times New Roman" w:hAnsi="Times New Roman" w:cs="Times New Roman"/>
          <w:b/>
          <w:sz w:val="28"/>
          <w:szCs w:val="28"/>
        </w:rPr>
        <w:t>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перечисленные в информации </w:t>
      </w:r>
      <w:r w:rsidRPr="00E6504E">
        <w:rPr>
          <w:rFonts w:ascii="Times New Roman" w:hAnsi="Times New Roman" w:cs="Times New Roman"/>
          <w:sz w:val="28"/>
          <w:szCs w:val="28"/>
        </w:rPr>
        <w:t>на официальном сайте Минтруда России</w:t>
      </w:r>
      <w:r>
        <w:rPr>
          <w:rFonts w:ascii="Times New Roman" w:hAnsi="Times New Roman" w:cs="Times New Roman"/>
          <w:sz w:val="28"/>
          <w:szCs w:val="28"/>
        </w:rPr>
        <w:t>. При этом 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ходе использования в работе указанных Методических рекомендаций предлагаем обратить внимание на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080" w:rsidRPr="00E6504E" w:rsidRDefault="00E6504E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пункте 13 Методических рекомендаций отмечено, что перевод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</w:t>
      </w:r>
      <w:r w:rsidR="003613B7"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шибочное (неточное) указание сведений вследствие ошибок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и неточностей, допущенных органом публичной власти или организацией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В этой связи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О порядке предоставления кредитными организациями и </w:t>
      </w:r>
      <w:proofErr w:type="spellStart"/>
      <w:r w:rsidR="00526080" w:rsidRPr="00E6504E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="00526080" w:rsidRPr="00E6504E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</w:t>
      </w:r>
      <w:r w:rsidR="00C60F22" w:rsidRPr="00C60F22">
        <w:rPr>
          <w:rFonts w:ascii="Times New Roman" w:hAnsi="Times New Roman" w:cs="Times New Roman"/>
          <w:sz w:val="28"/>
          <w:szCs w:val="28"/>
        </w:rPr>
        <w:t xml:space="preserve"> </w:t>
      </w:r>
      <w:r w:rsidR="00526080" w:rsidRPr="00E6504E">
        <w:rPr>
          <w:rFonts w:ascii="Times New Roman" w:hAnsi="Times New Roman" w:cs="Times New Roman"/>
          <w:sz w:val="28"/>
          <w:szCs w:val="28"/>
        </w:rPr>
        <w:t>сведений</w:t>
      </w:r>
      <w:r w:rsidR="00C60F22" w:rsidRPr="00C60F22">
        <w:rPr>
          <w:rFonts w:ascii="Times New Roman" w:hAnsi="Times New Roman" w:cs="Times New Roman"/>
          <w:sz w:val="28"/>
          <w:szCs w:val="28"/>
        </w:rPr>
        <w:t xml:space="preserve">   </w:t>
      </w:r>
      <w:r w:rsidR="00526080" w:rsidRPr="00E6504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6080" w:rsidRPr="00E6504E">
        <w:rPr>
          <w:rFonts w:ascii="Times New Roman" w:hAnsi="Times New Roman" w:cs="Times New Roman"/>
          <w:sz w:val="28"/>
          <w:szCs w:val="28"/>
        </w:rPr>
        <w:t>ктуализирован перечень выплат, которые могут быть признаны доходом для целей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казан порядок отражения социальной поддержки молодежи в возрасте от 14 до 22 лет для повышения доступности организаций культуры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(т.н.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>Пушкинская карта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 w:rsidR="00526080" w:rsidRPr="00E6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учтены изменения, предусмотренные Указом Президента Российской Федерации от 10 декабря 2020 г. № 778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="00526080" w:rsidRPr="00E6504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пункте 154 Методических рекомендаций обозначено, что уставный капитал зарубежных организаций необходимо устанавливать в соответствии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с применимым правом (допускается использование данных из официальных источников в информационно-телекоммуникационной сети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>Интернет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 w:rsidR="00526080" w:rsidRPr="00E6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>пределенны особенности представления информации об акциях, приобретенных на организованных торгах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>тмечено, что при наличии обстоятельств фьючерсный договор подлежит отражению</w:t>
      </w:r>
      <w:r w:rsidR="00EE040D">
        <w:rPr>
          <w:rFonts w:ascii="Times New Roman" w:hAnsi="Times New Roman" w:cs="Times New Roman"/>
          <w:sz w:val="28"/>
          <w:szCs w:val="28"/>
        </w:rPr>
        <w:t>.</w:t>
      </w:r>
    </w:p>
    <w:p w:rsidR="00E6504E" w:rsidRPr="00E6504E" w:rsidRDefault="00526080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  <w:r w:rsidR="00E6504E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4E" w:rsidRPr="00E6504E" w:rsidRDefault="00E6504E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E" w:rsidRPr="00E6504E" w:rsidRDefault="00C67195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E6504E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разработана</w:t>
      </w:r>
      <w:r w:rsid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4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Адыгея и Кабинетом Министров </w:t>
      </w:r>
      <w:r w:rsidR="006A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Адыгея</w:t>
      </w:r>
      <w:r w:rsidR="00C60F22" w:rsidRPr="00C6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</w:t>
      </w:r>
      <w:r w:rsidR="00C60F22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Адыгея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04E" w:rsidRDefault="00E6504E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80" w:rsidRPr="00E6504E" w:rsidRDefault="00E6504E" w:rsidP="00776C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данной памяткой </w:t>
      </w:r>
      <w:r w:rsidRPr="00C6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рекомендуется ознакомить под роспись всех </w:t>
      </w:r>
      <w:r w:rsidR="00C67195" w:rsidRPr="00C6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государственн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замещение указанных должностей.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6E2" w:rsidRPr="00E6504E" w:rsidRDefault="00D946E2" w:rsidP="00776C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46E2" w:rsidRPr="00E6504E" w:rsidSect="00001FD3">
      <w:footerReference w:type="default" r:id="rId7"/>
      <w:pgSz w:w="11906" w:h="16838"/>
      <w:pgMar w:top="1135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D3" w:rsidRDefault="00001FD3" w:rsidP="00001FD3">
      <w:pPr>
        <w:spacing w:after="0" w:line="240" w:lineRule="auto"/>
      </w:pPr>
      <w:r>
        <w:separator/>
      </w:r>
    </w:p>
  </w:endnote>
  <w:endnote w:type="continuationSeparator" w:id="0">
    <w:p w:rsidR="00001FD3" w:rsidRDefault="00001FD3" w:rsidP="000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134240"/>
      <w:docPartObj>
        <w:docPartGallery w:val="Page Numbers (Bottom of Page)"/>
        <w:docPartUnique/>
      </w:docPartObj>
    </w:sdtPr>
    <w:sdtEndPr/>
    <w:sdtContent>
      <w:p w:rsidR="00001FD3" w:rsidRDefault="00001F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6A">
          <w:rPr>
            <w:noProof/>
          </w:rPr>
          <w:t>6</w:t>
        </w:r>
        <w:r>
          <w:fldChar w:fldCharType="end"/>
        </w:r>
      </w:p>
    </w:sdtContent>
  </w:sdt>
  <w:p w:rsidR="00001FD3" w:rsidRDefault="00001F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D3" w:rsidRDefault="00001FD3" w:rsidP="00001FD3">
      <w:pPr>
        <w:spacing w:after="0" w:line="240" w:lineRule="auto"/>
      </w:pPr>
      <w:r>
        <w:separator/>
      </w:r>
    </w:p>
  </w:footnote>
  <w:footnote w:type="continuationSeparator" w:id="0">
    <w:p w:rsidR="00001FD3" w:rsidRDefault="00001FD3" w:rsidP="0000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61F1FD6"/>
    <w:multiLevelType w:val="hybridMultilevel"/>
    <w:tmpl w:val="9D3818AE"/>
    <w:lvl w:ilvl="0" w:tplc="2D68782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2"/>
    <w:rsid w:val="00001FD3"/>
    <w:rsid w:val="0009623A"/>
    <w:rsid w:val="000A2667"/>
    <w:rsid w:val="00230FFB"/>
    <w:rsid w:val="002B6FB3"/>
    <w:rsid w:val="003613B7"/>
    <w:rsid w:val="003C39D7"/>
    <w:rsid w:val="00526080"/>
    <w:rsid w:val="005774C3"/>
    <w:rsid w:val="005C3BDB"/>
    <w:rsid w:val="00657A32"/>
    <w:rsid w:val="00693EEE"/>
    <w:rsid w:val="006A3451"/>
    <w:rsid w:val="006D663B"/>
    <w:rsid w:val="00776C6D"/>
    <w:rsid w:val="0094026A"/>
    <w:rsid w:val="009B538E"/>
    <w:rsid w:val="00A22D3C"/>
    <w:rsid w:val="00AB025A"/>
    <w:rsid w:val="00B0221F"/>
    <w:rsid w:val="00BB1255"/>
    <w:rsid w:val="00C60F22"/>
    <w:rsid w:val="00C67195"/>
    <w:rsid w:val="00CD0398"/>
    <w:rsid w:val="00D27A58"/>
    <w:rsid w:val="00D946E2"/>
    <w:rsid w:val="00E6504E"/>
    <w:rsid w:val="00EA5C32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A38B-EC7C-49D2-B9EB-F1DC47D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08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FB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rsid w:val="00D27A58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D27A5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D27A58"/>
  </w:style>
  <w:style w:type="paragraph" w:styleId="a9">
    <w:name w:val="header"/>
    <w:basedOn w:val="a"/>
    <w:link w:val="aa"/>
    <w:uiPriority w:val="99"/>
    <w:unhideWhenUsed/>
    <w:rsid w:val="000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1FD3"/>
  </w:style>
  <w:style w:type="paragraph" w:styleId="ab">
    <w:name w:val="footer"/>
    <w:basedOn w:val="a"/>
    <w:link w:val="ac"/>
    <w:uiPriority w:val="99"/>
    <w:unhideWhenUsed/>
    <w:rsid w:val="000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Схабо Н.С.</dc:creator>
  <cp:keywords/>
  <dc:description/>
  <cp:lastModifiedBy>Деева Виктория Вадимовна</cp:lastModifiedBy>
  <cp:revision>2</cp:revision>
  <cp:lastPrinted>2022-03-02T07:52:00Z</cp:lastPrinted>
  <dcterms:created xsi:type="dcterms:W3CDTF">2022-03-09T06:30:00Z</dcterms:created>
  <dcterms:modified xsi:type="dcterms:W3CDTF">2022-03-09T06:30:00Z</dcterms:modified>
</cp:coreProperties>
</file>